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DE136" w14:textId="77777777" w:rsidR="007C0943" w:rsidRDefault="00000000">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SPECIFICATION OF STANDARD GOODS</w:t>
      </w:r>
    </w:p>
    <w:p w14:paraId="7B75CEAD" w14:textId="7EBBC425" w:rsidR="007C0943" w:rsidRDefault="00000000">
      <w:pPr>
        <w:tabs>
          <w:tab w:val="left" w:pos="2835"/>
        </w:tabs>
        <w:spacing w:before="240" w:after="240"/>
        <w:ind w:left="2835" w:hanging="2835"/>
        <w:jc w:val="center"/>
        <w:rPr>
          <w:lang w:val="en-GB" w:eastAsia="ko-KR"/>
        </w:rPr>
      </w:pPr>
      <w:r>
        <w:rPr>
          <w:b/>
          <w:lang w:val="en-GB"/>
        </w:rPr>
        <w:t>Procurement No:</w:t>
      </w:r>
      <w:r>
        <w:rPr>
          <w:b/>
        </w:rPr>
        <w:t xml:space="preserve"> </w:t>
      </w:r>
      <w:r w:rsidR="00563B9A">
        <w:rPr>
          <w:b/>
        </w:rPr>
        <w:t>54-G002-26</w:t>
      </w:r>
    </w:p>
    <w:p w14:paraId="7186AF91" w14:textId="77777777" w:rsidR="007C0943" w:rsidRDefault="00000000">
      <w:pPr>
        <w:tabs>
          <w:tab w:val="left" w:pos="2835"/>
        </w:tabs>
        <w:spacing w:before="240" w:after="240"/>
        <w:ind w:left="2835" w:hanging="2835"/>
        <w:rPr>
          <w:rFonts w:ascii="Calibri" w:hAnsi="Calibri" w:cs="Calibri"/>
          <w:highlight w:val="yellow"/>
          <w:lang w:val="en-GB"/>
        </w:rPr>
      </w:pPr>
      <w:r>
        <w:rPr>
          <w:rFonts w:ascii="Calibri" w:hAnsi="Calibri" w:cs="Calibri"/>
          <w:highlight w:val="yellow"/>
          <w:lang w:val="en-GB"/>
        </w:rPr>
        <w:br w:type="page"/>
      </w:r>
    </w:p>
    <w:p w14:paraId="570A3D18" w14:textId="77777777" w:rsidR="007C0943" w:rsidRDefault="00000000">
      <w:pPr>
        <w:pStyle w:val="Heading2"/>
      </w:pPr>
      <w:bookmarkStart w:id="0" w:name="_Toc419729571"/>
      <w:bookmarkStart w:id="1" w:name="_Toc11156577"/>
      <w:r>
        <w:lastRenderedPageBreak/>
        <w:t>Specification</w:t>
      </w:r>
      <w:bookmarkEnd w:id="0"/>
    </w:p>
    <w:p w14:paraId="3ED69F74" w14:textId="77777777" w:rsidR="007C0943" w:rsidRDefault="00000000">
      <w:pPr>
        <w:pStyle w:val="Heading3"/>
        <w:rPr>
          <w:lang w:val="en-GB"/>
        </w:rPr>
      </w:pPr>
      <w:bookmarkStart w:id="2" w:name="_Toc419729572"/>
      <w:bookmarkStart w:id="3" w:name="_Toc293504682"/>
      <w:bookmarkStart w:id="4" w:name="_Toc292659306"/>
      <w:r>
        <w:rPr>
          <w:lang w:val="en-GB"/>
        </w:rPr>
        <w:t>Background</w:t>
      </w:r>
      <w:bookmarkEnd w:id="2"/>
      <w:bookmarkEnd w:id="3"/>
    </w:p>
    <w:p w14:paraId="4AB007E5" w14:textId="77777777" w:rsidR="007C0943" w:rsidRDefault="00000000">
      <w:pPr>
        <w:rPr>
          <w:lang w:val="en-GB"/>
        </w:rPr>
      </w:pPr>
      <w:r>
        <w:rPr>
          <w:lang w:val="en-GB"/>
        </w:rPr>
        <w:t>The Airport Kiribati Authority (AKA) is responsible for ensuring safe and efficient air navigation services within the Republic of Kiribati. As part of ongoing aviation infrastructure upgrades at Bonriki International Airport, AKA intends to procure and install a modern Non-Directional Beacon (NDB) system.</w:t>
      </w:r>
    </w:p>
    <w:p w14:paraId="5E2BC577" w14:textId="77777777" w:rsidR="007C0943" w:rsidRDefault="00000000">
      <w:pPr>
        <w:rPr>
          <w:lang w:val="en-GB"/>
        </w:rPr>
      </w:pPr>
      <w:r>
        <w:rPr>
          <w:lang w:val="en-GB"/>
        </w:rPr>
        <w:t>The objective of this project is to:</w:t>
      </w:r>
    </w:p>
    <w:p w14:paraId="504347F0" w14:textId="77777777" w:rsidR="007C0943" w:rsidRDefault="00000000">
      <w:pPr>
        <w:numPr>
          <w:ilvl w:val="0"/>
          <w:numId w:val="3"/>
        </w:numPr>
        <w:rPr>
          <w:lang w:val="en-GB"/>
        </w:rPr>
      </w:pPr>
      <w:r>
        <w:rPr>
          <w:lang w:val="en-GB"/>
        </w:rPr>
        <w:t>Enhance navigational safety and reliability for aircraft operations</w:t>
      </w:r>
    </w:p>
    <w:p w14:paraId="402B96A2" w14:textId="77777777" w:rsidR="007C0943" w:rsidRDefault="00000000">
      <w:pPr>
        <w:numPr>
          <w:ilvl w:val="0"/>
          <w:numId w:val="3"/>
        </w:numPr>
        <w:rPr>
          <w:lang w:val="en-GB"/>
        </w:rPr>
      </w:pPr>
      <w:r>
        <w:rPr>
          <w:lang w:val="en-GB"/>
        </w:rPr>
        <w:t>Replace or upgrade existing navigation aids with ICAO-compliant equipment</w:t>
      </w:r>
    </w:p>
    <w:p w14:paraId="633E9386" w14:textId="77777777" w:rsidR="007C0943" w:rsidRDefault="00000000">
      <w:pPr>
        <w:numPr>
          <w:ilvl w:val="0"/>
          <w:numId w:val="3"/>
        </w:numPr>
        <w:rPr>
          <w:lang w:val="en-GB"/>
        </w:rPr>
      </w:pPr>
      <w:r>
        <w:rPr>
          <w:lang w:val="en-GB"/>
        </w:rPr>
        <w:t>Improve operational efficiency under all weather conditions</w:t>
      </w:r>
    </w:p>
    <w:p w14:paraId="72AE713D" w14:textId="77777777" w:rsidR="007C0943" w:rsidRDefault="00000000">
      <w:pPr>
        <w:numPr>
          <w:ilvl w:val="0"/>
          <w:numId w:val="3"/>
        </w:numPr>
        <w:rPr>
          <w:lang w:val="en-GB"/>
        </w:rPr>
      </w:pPr>
      <w:r>
        <w:rPr>
          <w:lang w:val="en-GB"/>
        </w:rPr>
        <w:t>Build local technical capacity through training and knowledge transfer</w:t>
      </w:r>
    </w:p>
    <w:p w14:paraId="293B3124" w14:textId="77777777" w:rsidR="007C0943" w:rsidRDefault="00000000">
      <w:pPr>
        <w:pStyle w:val="Heading3"/>
        <w:rPr>
          <w:rFonts w:cs="Calibri"/>
          <w:lang w:val="en-GB"/>
        </w:rPr>
      </w:pPr>
      <w:bookmarkStart w:id="5" w:name="_Toc312171709"/>
      <w:r>
        <w:rPr>
          <w:rFonts w:cs="Calibri"/>
          <w:lang w:val="en-GB"/>
        </w:rPr>
        <w:t>Requirements</w:t>
      </w:r>
    </w:p>
    <w:p w14:paraId="5ED8EED8" w14:textId="77777777" w:rsidR="007C0943" w:rsidRDefault="00000000">
      <w:pPr>
        <w:rPr>
          <w:lang w:val="en-GB"/>
        </w:rPr>
      </w:pPr>
      <w:bookmarkStart w:id="6" w:name="_Toc308102003"/>
      <w:r>
        <w:rPr>
          <w:lang w:val="en-GB"/>
        </w:rPr>
        <w:t>All supporting documentation must be in English.</w:t>
      </w:r>
    </w:p>
    <w:p w14:paraId="434FBA39" w14:textId="77777777" w:rsidR="007C0943" w:rsidRDefault="00000000">
      <w:pPr>
        <w:rPr>
          <w:lang w:val="en-GB"/>
        </w:rPr>
      </w:pPr>
      <w:r>
        <w:rPr>
          <w:lang w:val="en-GB"/>
        </w:rPr>
        <w:t>General requirements include:</w:t>
      </w:r>
    </w:p>
    <w:p w14:paraId="64A7E9CE" w14:textId="77777777" w:rsidR="007C0943" w:rsidRDefault="00000000">
      <w:pPr>
        <w:numPr>
          <w:ilvl w:val="0"/>
          <w:numId w:val="3"/>
        </w:numPr>
        <w:rPr>
          <w:lang w:val="en-GB"/>
        </w:rPr>
      </w:pPr>
      <w:r>
        <w:rPr>
          <w:lang w:val="en-GB"/>
        </w:rPr>
        <w:t>Equipment must comply with ICAO Annex 10 standards</w:t>
      </w:r>
    </w:p>
    <w:p w14:paraId="18C18085" w14:textId="77777777" w:rsidR="007C0943" w:rsidRDefault="00000000">
      <w:pPr>
        <w:numPr>
          <w:ilvl w:val="0"/>
          <w:numId w:val="3"/>
        </w:numPr>
        <w:rPr>
          <w:lang w:val="en-GB"/>
        </w:rPr>
      </w:pPr>
      <w:r>
        <w:rPr>
          <w:lang w:val="en-GB"/>
        </w:rPr>
        <w:t>Supplier must provide complete technical documentation and manuals</w:t>
      </w:r>
    </w:p>
    <w:p w14:paraId="526C2B62" w14:textId="77777777" w:rsidR="007C0943" w:rsidRDefault="00000000">
      <w:pPr>
        <w:numPr>
          <w:ilvl w:val="0"/>
          <w:numId w:val="3"/>
        </w:numPr>
        <w:rPr>
          <w:lang w:val="en-GB"/>
        </w:rPr>
      </w:pPr>
      <w:r>
        <w:rPr>
          <w:lang w:val="en-GB"/>
        </w:rPr>
        <w:t>Equipment must be new, unused, and of latest available model</w:t>
      </w:r>
    </w:p>
    <w:p w14:paraId="1AC929DE" w14:textId="77777777" w:rsidR="007C0943" w:rsidRDefault="00000000">
      <w:pPr>
        <w:numPr>
          <w:ilvl w:val="0"/>
          <w:numId w:val="3"/>
        </w:numPr>
        <w:rPr>
          <w:lang w:val="en-GB"/>
        </w:rPr>
      </w:pPr>
      <w:r>
        <w:rPr>
          <w:lang w:val="en-GB"/>
        </w:rPr>
        <w:t>Supplier must have proven experience in supplying and installing aviation navigation systems</w:t>
      </w:r>
    </w:p>
    <w:p w14:paraId="3257E644" w14:textId="77777777" w:rsidR="007C0943" w:rsidRDefault="00000000">
      <w:pPr>
        <w:numPr>
          <w:ilvl w:val="0"/>
          <w:numId w:val="3"/>
        </w:numPr>
        <w:rPr>
          <w:lang w:val="en-GB"/>
        </w:rPr>
      </w:pPr>
      <w:r>
        <w:rPr>
          <w:lang w:val="en-GB"/>
        </w:rPr>
        <w:t>Provision of warranty (minimum 12 months)</w:t>
      </w:r>
    </w:p>
    <w:p w14:paraId="71299684" w14:textId="77777777" w:rsidR="007C0943" w:rsidRDefault="00000000">
      <w:pPr>
        <w:numPr>
          <w:ilvl w:val="0"/>
          <w:numId w:val="3"/>
        </w:numPr>
        <w:rPr>
          <w:lang w:val="en-GB"/>
        </w:rPr>
      </w:pPr>
      <w:r>
        <w:rPr>
          <w:lang w:val="en-GB"/>
        </w:rPr>
        <w:t>Availability of spare parts for at least 5 years</w:t>
      </w:r>
    </w:p>
    <w:p w14:paraId="638041A8" w14:textId="77777777" w:rsidR="007C0943" w:rsidRDefault="00000000">
      <w:pPr>
        <w:numPr>
          <w:ilvl w:val="0"/>
          <w:numId w:val="3"/>
        </w:numPr>
        <w:rPr>
          <w:lang w:val="en-GB"/>
        </w:rPr>
      </w:pPr>
      <w:r>
        <w:rPr>
          <w:lang w:val="en-GB"/>
        </w:rPr>
        <w:t>Compliance with environmental and electrical safety standards</w:t>
      </w:r>
    </w:p>
    <w:p w14:paraId="4A63C60A" w14:textId="77777777" w:rsidR="007C0943" w:rsidRDefault="00000000">
      <w:pPr>
        <w:numPr>
          <w:ilvl w:val="0"/>
          <w:numId w:val="3"/>
        </w:numPr>
        <w:rPr>
          <w:lang w:val="en-GB"/>
        </w:rPr>
      </w:pPr>
      <w:r>
        <w:rPr>
          <w:lang w:val="en-GB"/>
        </w:rPr>
        <w:t>Equipment must be suitable for tropical maritime climate conditions (high humidity, salt exposure, heat)</w:t>
      </w:r>
    </w:p>
    <w:p w14:paraId="70B138B5" w14:textId="77777777" w:rsidR="007C0943" w:rsidRDefault="00000000">
      <w:pPr>
        <w:pStyle w:val="Heading3"/>
        <w:rPr>
          <w:rFonts w:cs="Calibri"/>
          <w:lang w:val="en-GB"/>
        </w:rPr>
      </w:pPr>
      <w:bookmarkStart w:id="7" w:name="_Toc419729577"/>
      <w:bookmarkEnd w:id="6"/>
      <w:r>
        <w:rPr>
          <w:rFonts w:cs="Calibri"/>
          <w:lang w:val="en-GB"/>
        </w:rPr>
        <w:t>Installation services</w:t>
      </w:r>
      <w:bookmarkEnd w:id="7"/>
    </w:p>
    <w:p w14:paraId="59D9781B" w14:textId="77777777" w:rsidR="007C0943" w:rsidRDefault="00000000">
      <w:pPr>
        <w:rPr>
          <w:lang w:val="en-GB"/>
        </w:rPr>
      </w:pPr>
      <w:r>
        <w:rPr>
          <w:lang w:val="en-GB"/>
        </w:rPr>
        <w:t>The Supplier shall provide full installation and commissioning services, including:</w:t>
      </w:r>
    </w:p>
    <w:p w14:paraId="06E1837F" w14:textId="77777777" w:rsidR="007C0943" w:rsidRDefault="00000000">
      <w:pPr>
        <w:numPr>
          <w:ilvl w:val="0"/>
          <w:numId w:val="3"/>
        </w:numPr>
        <w:rPr>
          <w:lang w:val="en-GB"/>
        </w:rPr>
      </w:pPr>
      <w:r>
        <w:rPr>
          <w:lang w:val="en-GB"/>
        </w:rPr>
        <w:t>Site inspection and preparation</w:t>
      </w:r>
    </w:p>
    <w:p w14:paraId="147E50E4" w14:textId="77777777" w:rsidR="007C0943" w:rsidRDefault="00000000">
      <w:pPr>
        <w:numPr>
          <w:ilvl w:val="0"/>
          <w:numId w:val="3"/>
        </w:numPr>
        <w:rPr>
          <w:lang w:val="en-GB"/>
        </w:rPr>
      </w:pPr>
      <w:r>
        <w:rPr>
          <w:lang w:val="en-GB"/>
        </w:rPr>
        <w:t>Supply of all required installation materials and accessories</w:t>
      </w:r>
    </w:p>
    <w:p w14:paraId="4CF205AE" w14:textId="77777777" w:rsidR="007C0943" w:rsidRDefault="00000000">
      <w:pPr>
        <w:numPr>
          <w:ilvl w:val="0"/>
          <w:numId w:val="3"/>
        </w:numPr>
        <w:rPr>
          <w:lang w:val="en-GB"/>
        </w:rPr>
      </w:pPr>
      <w:r>
        <w:rPr>
          <w:lang w:val="en-GB"/>
        </w:rPr>
        <w:t>Installation of NDB equipment and antenna system</w:t>
      </w:r>
    </w:p>
    <w:p w14:paraId="7BD0CFA8" w14:textId="77777777" w:rsidR="007C0943" w:rsidRDefault="00000000">
      <w:pPr>
        <w:numPr>
          <w:ilvl w:val="0"/>
          <w:numId w:val="3"/>
        </w:numPr>
        <w:rPr>
          <w:lang w:val="en-GB"/>
        </w:rPr>
      </w:pPr>
      <w:r>
        <w:rPr>
          <w:lang w:val="en-GB"/>
        </w:rPr>
        <w:t>Integration with existing airport systems (if applicable)</w:t>
      </w:r>
    </w:p>
    <w:p w14:paraId="14BB4C02" w14:textId="77777777" w:rsidR="007C0943" w:rsidRDefault="00000000">
      <w:pPr>
        <w:numPr>
          <w:ilvl w:val="0"/>
          <w:numId w:val="3"/>
        </w:numPr>
        <w:rPr>
          <w:lang w:val="en-GB"/>
        </w:rPr>
      </w:pPr>
      <w:r>
        <w:rPr>
          <w:lang w:val="en-GB"/>
        </w:rPr>
        <w:t>Calibration, testing, and commissioning</w:t>
      </w:r>
    </w:p>
    <w:p w14:paraId="705F9276" w14:textId="77777777" w:rsidR="007C0943" w:rsidRDefault="00000000">
      <w:pPr>
        <w:numPr>
          <w:ilvl w:val="0"/>
          <w:numId w:val="3"/>
        </w:numPr>
        <w:rPr>
          <w:lang w:val="en-GB"/>
        </w:rPr>
      </w:pPr>
      <w:r>
        <w:rPr>
          <w:lang w:val="en-GB"/>
        </w:rPr>
        <w:t>Certification of operational readiness</w:t>
      </w:r>
    </w:p>
    <w:p w14:paraId="1D829961" w14:textId="77777777" w:rsidR="007C0943" w:rsidRDefault="00000000">
      <w:pPr>
        <w:numPr>
          <w:ilvl w:val="0"/>
          <w:numId w:val="3"/>
        </w:numPr>
        <w:rPr>
          <w:lang w:val="en-GB"/>
        </w:rPr>
      </w:pPr>
      <w:r>
        <w:rPr>
          <w:lang w:val="en-GB"/>
        </w:rPr>
        <w:lastRenderedPageBreak/>
        <w:t>On-site training for airport technical staff</w:t>
      </w:r>
    </w:p>
    <w:p w14:paraId="3642CFEB" w14:textId="77777777" w:rsidR="007C0943" w:rsidRDefault="00000000">
      <w:pPr>
        <w:numPr>
          <w:ilvl w:val="0"/>
          <w:numId w:val="3"/>
        </w:numPr>
        <w:rPr>
          <w:lang w:val="en-GB"/>
        </w:rPr>
      </w:pPr>
      <w:r>
        <w:rPr>
          <w:lang w:val="en-GB"/>
        </w:rPr>
        <w:t>Provision of as-built drawings and installation reports</w:t>
      </w:r>
    </w:p>
    <w:p w14:paraId="3C2F2E42" w14:textId="77777777" w:rsidR="007C0943" w:rsidRDefault="00000000">
      <w:pPr>
        <w:pStyle w:val="Heading3"/>
        <w:rPr>
          <w:lang w:val="en-GB"/>
        </w:rPr>
      </w:pPr>
      <w:bookmarkStart w:id="8" w:name="_Toc419729578"/>
      <w:r>
        <w:rPr>
          <w:lang w:val="en-GB"/>
        </w:rPr>
        <w:t>Delivery Time</w:t>
      </w:r>
      <w:bookmarkEnd w:id="8"/>
    </w:p>
    <w:p w14:paraId="790E632E" w14:textId="77777777" w:rsidR="007C0943" w:rsidRDefault="00000000">
      <w:pPr>
        <w:rPr>
          <w:lang w:val="en-GB"/>
        </w:rPr>
      </w:pPr>
      <w:r>
        <w:rPr>
          <w:lang w:val="en-GB"/>
        </w:rPr>
        <w:t>The complete supply, installation, testing, and commissioning shall be completed within 90 days from the date of contract signing.</w:t>
      </w:r>
    </w:p>
    <w:bookmarkEnd w:id="4"/>
    <w:bookmarkEnd w:id="5"/>
    <w:p w14:paraId="37FFC74F" w14:textId="77777777" w:rsidR="007C0943" w:rsidRDefault="00000000">
      <w:pPr>
        <w:pStyle w:val="Heading2"/>
      </w:pPr>
      <w:r>
        <w:t>Description of the Goods</w:t>
      </w:r>
      <w:bookmarkEnd w:id="1"/>
    </w:p>
    <w:p w14:paraId="6A8DF53E" w14:textId="77777777" w:rsidR="007C0943" w:rsidRDefault="00000000">
      <w:pPr>
        <w:rPr>
          <w:i/>
          <w:iCs/>
          <w:lang w:val="en-GB"/>
        </w:rPr>
      </w:pPr>
      <w:r>
        <w:rPr>
          <w:i/>
          <w:iCs/>
          <w:lang w:val="en-GB"/>
        </w:rPr>
        <w:t>Here, list all items to be Tendered</w:t>
      </w:r>
    </w:p>
    <w:p w14:paraId="630639AB" w14:textId="77777777" w:rsidR="007C0943" w:rsidRDefault="00000000">
      <w:pPr>
        <w:rPr>
          <w:i/>
          <w:iCs/>
          <w:lang w:val="en-GB"/>
        </w:rPr>
      </w:pPr>
      <w:r>
        <w:rPr>
          <w:i/>
          <w:iCs/>
          <w:lang w:val="en-GB"/>
        </w:rPr>
        <w:t>(This part may be replaced by a proprietary Supplier description)</w:t>
      </w:r>
    </w:p>
    <w:p w14:paraId="00DF2F6A" w14:textId="77777777" w:rsidR="007C0943" w:rsidRDefault="007C0943">
      <w:pPr>
        <w:rPr>
          <w:lang w:val="en-GB"/>
        </w:rPr>
      </w:pPr>
    </w:p>
    <w:tbl>
      <w:tblPr>
        <w:tblStyle w:val="GridTable1Light1"/>
        <w:tblW w:w="0" w:type="auto"/>
        <w:tblLook w:val="04A0" w:firstRow="1" w:lastRow="0" w:firstColumn="1" w:lastColumn="0" w:noHBand="0" w:noVBand="1"/>
      </w:tblPr>
      <w:tblGrid>
        <w:gridCol w:w="636"/>
        <w:gridCol w:w="4678"/>
        <w:gridCol w:w="1134"/>
        <w:gridCol w:w="1559"/>
        <w:gridCol w:w="1417"/>
      </w:tblGrid>
      <w:tr w:rsidR="007C0943" w14:paraId="6B2FE15F" w14:textId="77777777" w:rsidTr="007C09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0D2AA444" w14:textId="77777777" w:rsidR="007C0943" w:rsidRDefault="00000000">
            <w:pPr>
              <w:rPr>
                <w:b w:val="0"/>
                <w:bCs w:val="0"/>
                <w:lang w:val="en-GB"/>
              </w:rPr>
            </w:pPr>
            <w:r>
              <w:rPr>
                <w:lang w:val="en-GB"/>
              </w:rPr>
              <w:t>Pos.</w:t>
            </w:r>
          </w:p>
        </w:tc>
        <w:tc>
          <w:tcPr>
            <w:tcW w:w="4678" w:type="dxa"/>
          </w:tcPr>
          <w:p w14:paraId="37EC855E" w14:textId="77777777" w:rsidR="007C0943" w:rsidRDefault="00000000">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Description</w:t>
            </w:r>
          </w:p>
        </w:tc>
        <w:tc>
          <w:tcPr>
            <w:tcW w:w="1134" w:type="dxa"/>
          </w:tcPr>
          <w:p w14:paraId="07C54320" w14:textId="77777777" w:rsidR="007C0943" w:rsidRDefault="00000000">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Number</w:t>
            </w:r>
          </w:p>
        </w:tc>
        <w:tc>
          <w:tcPr>
            <w:tcW w:w="1559" w:type="dxa"/>
          </w:tcPr>
          <w:p w14:paraId="35ACE7DC" w14:textId="77777777" w:rsidR="007C0943" w:rsidRDefault="00000000">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Delivery Time (to be Tendered)</w:t>
            </w:r>
          </w:p>
        </w:tc>
        <w:tc>
          <w:tcPr>
            <w:tcW w:w="1417" w:type="dxa"/>
          </w:tcPr>
          <w:p w14:paraId="4547B678" w14:textId="77777777" w:rsidR="007C0943" w:rsidRDefault="00000000">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Price (to be Tendered)</w:t>
            </w:r>
          </w:p>
        </w:tc>
      </w:tr>
      <w:tr w:rsidR="007C0943" w14:paraId="2E0EF03B" w14:textId="77777777" w:rsidTr="007C0943">
        <w:tc>
          <w:tcPr>
            <w:cnfStyle w:val="001000000000" w:firstRow="0" w:lastRow="0" w:firstColumn="1" w:lastColumn="0" w:oddVBand="0" w:evenVBand="0" w:oddHBand="0" w:evenHBand="0" w:firstRowFirstColumn="0" w:firstRowLastColumn="0" w:lastRowFirstColumn="0" w:lastRowLastColumn="0"/>
            <w:tcW w:w="562" w:type="dxa"/>
          </w:tcPr>
          <w:p w14:paraId="26E5FA2A" w14:textId="77777777" w:rsidR="007C0943" w:rsidRDefault="00000000">
            <w:pPr>
              <w:rPr>
                <w:lang w:val="en-GB"/>
              </w:rPr>
            </w:pPr>
            <w:r>
              <w:rPr>
                <w:b w:val="0"/>
                <w:bCs w:val="0"/>
                <w:lang w:val="en-GB"/>
              </w:rPr>
              <w:t>1</w:t>
            </w:r>
          </w:p>
        </w:tc>
        <w:tc>
          <w:tcPr>
            <w:tcW w:w="4678" w:type="dxa"/>
          </w:tcPr>
          <w:p w14:paraId="5FBAF273" w14:textId="77777777" w:rsidR="007C0943"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Supply of Non-Directional Beacon (NDB) System (including transmitter, antenna, control unit, monitoring system)</w:t>
            </w:r>
          </w:p>
        </w:tc>
        <w:tc>
          <w:tcPr>
            <w:tcW w:w="1134" w:type="dxa"/>
          </w:tcPr>
          <w:p w14:paraId="21F413C6" w14:textId="77777777" w:rsidR="007C0943" w:rsidRDefault="00000000">
            <w:pPr>
              <w:cnfStyle w:val="000000000000" w:firstRow="0" w:lastRow="0" w:firstColumn="0" w:lastColumn="0" w:oddVBand="0" w:evenVBand="0" w:oddHBand="0" w:evenHBand="0" w:firstRowFirstColumn="0" w:firstRowLastColumn="0" w:lastRowFirstColumn="0" w:lastRowLastColumn="0"/>
            </w:pPr>
            <w:r>
              <w:t>1 Lot</w:t>
            </w:r>
          </w:p>
        </w:tc>
        <w:tc>
          <w:tcPr>
            <w:tcW w:w="1559" w:type="dxa"/>
          </w:tcPr>
          <w:p w14:paraId="2BA75F48" w14:textId="77777777" w:rsidR="007C0943"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Within 60 days</w:t>
            </w:r>
          </w:p>
        </w:tc>
        <w:tc>
          <w:tcPr>
            <w:tcW w:w="1417" w:type="dxa"/>
          </w:tcPr>
          <w:p w14:paraId="4EFF2A84" w14:textId="77777777" w:rsidR="007C0943" w:rsidRDefault="007C0943">
            <w:pPr>
              <w:cnfStyle w:val="000000000000" w:firstRow="0" w:lastRow="0" w:firstColumn="0" w:lastColumn="0" w:oddVBand="0" w:evenVBand="0" w:oddHBand="0" w:evenHBand="0" w:firstRowFirstColumn="0" w:firstRowLastColumn="0" w:lastRowFirstColumn="0" w:lastRowLastColumn="0"/>
              <w:rPr>
                <w:lang w:val="en-GB"/>
              </w:rPr>
            </w:pPr>
          </w:p>
        </w:tc>
      </w:tr>
      <w:tr w:rsidR="007C0943" w14:paraId="0CD4A4A5" w14:textId="77777777" w:rsidTr="007C0943">
        <w:tc>
          <w:tcPr>
            <w:cnfStyle w:val="001000000000" w:firstRow="0" w:lastRow="0" w:firstColumn="1" w:lastColumn="0" w:oddVBand="0" w:evenVBand="0" w:oddHBand="0" w:evenHBand="0" w:firstRowFirstColumn="0" w:firstRowLastColumn="0" w:lastRowFirstColumn="0" w:lastRowLastColumn="0"/>
            <w:tcW w:w="562" w:type="dxa"/>
          </w:tcPr>
          <w:p w14:paraId="0E22DEF4" w14:textId="77777777" w:rsidR="007C0943" w:rsidRDefault="00000000">
            <w:pPr>
              <w:rPr>
                <w:lang w:val="en-GB"/>
              </w:rPr>
            </w:pPr>
            <w:r>
              <w:rPr>
                <w:b w:val="0"/>
                <w:bCs w:val="0"/>
                <w:lang w:val="en-GB"/>
              </w:rPr>
              <w:t>2</w:t>
            </w:r>
          </w:p>
        </w:tc>
        <w:tc>
          <w:tcPr>
            <w:tcW w:w="4678" w:type="dxa"/>
          </w:tcPr>
          <w:p w14:paraId="6ACFF01C" w14:textId="77777777" w:rsidR="007C0943"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Installation and Commissioning Services (including testing and calibration)</w:t>
            </w:r>
          </w:p>
        </w:tc>
        <w:tc>
          <w:tcPr>
            <w:tcW w:w="1134" w:type="dxa"/>
          </w:tcPr>
          <w:p w14:paraId="463B4839" w14:textId="77777777" w:rsidR="007C0943" w:rsidRDefault="00000000">
            <w:pPr>
              <w:cnfStyle w:val="000000000000" w:firstRow="0" w:lastRow="0" w:firstColumn="0" w:lastColumn="0" w:oddVBand="0" w:evenVBand="0" w:oddHBand="0" w:evenHBand="0" w:firstRowFirstColumn="0" w:firstRowLastColumn="0" w:lastRowFirstColumn="0" w:lastRowLastColumn="0"/>
            </w:pPr>
            <w:r>
              <w:t>1 Lot</w:t>
            </w:r>
          </w:p>
        </w:tc>
        <w:tc>
          <w:tcPr>
            <w:tcW w:w="1559" w:type="dxa"/>
          </w:tcPr>
          <w:p w14:paraId="6B4E9BD4" w14:textId="77777777" w:rsidR="007C0943" w:rsidRDefault="00000000">
            <w:pPr>
              <w:cnfStyle w:val="000000000000" w:firstRow="0" w:lastRow="0" w:firstColumn="0" w:lastColumn="0" w:oddVBand="0" w:evenVBand="0" w:oddHBand="0" w:evenHBand="0" w:firstRowFirstColumn="0" w:firstRowLastColumn="0" w:lastRowFirstColumn="0" w:lastRowLastColumn="0"/>
            </w:pPr>
            <w:r>
              <w:t>Within 90 days</w:t>
            </w:r>
          </w:p>
        </w:tc>
        <w:tc>
          <w:tcPr>
            <w:tcW w:w="1417" w:type="dxa"/>
          </w:tcPr>
          <w:p w14:paraId="41BD0E26" w14:textId="77777777" w:rsidR="007C0943" w:rsidRDefault="007C0943">
            <w:pPr>
              <w:cnfStyle w:val="000000000000" w:firstRow="0" w:lastRow="0" w:firstColumn="0" w:lastColumn="0" w:oddVBand="0" w:evenVBand="0" w:oddHBand="0" w:evenHBand="0" w:firstRowFirstColumn="0" w:firstRowLastColumn="0" w:lastRowFirstColumn="0" w:lastRowLastColumn="0"/>
              <w:rPr>
                <w:lang w:val="en-GB"/>
              </w:rPr>
            </w:pPr>
          </w:p>
        </w:tc>
      </w:tr>
      <w:tr w:rsidR="007C0943" w14:paraId="61E3E789" w14:textId="77777777" w:rsidTr="007C0943">
        <w:tc>
          <w:tcPr>
            <w:cnfStyle w:val="001000000000" w:firstRow="0" w:lastRow="0" w:firstColumn="1" w:lastColumn="0" w:oddVBand="0" w:evenVBand="0" w:oddHBand="0" w:evenHBand="0" w:firstRowFirstColumn="0" w:firstRowLastColumn="0" w:lastRowFirstColumn="0" w:lastRowLastColumn="0"/>
            <w:tcW w:w="562" w:type="dxa"/>
          </w:tcPr>
          <w:p w14:paraId="54BD0370" w14:textId="77777777" w:rsidR="007C0943" w:rsidRDefault="00000000">
            <w:pPr>
              <w:rPr>
                <w:lang w:val="en-GB"/>
              </w:rPr>
            </w:pPr>
            <w:r>
              <w:rPr>
                <w:b w:val="0"/>
                <w:bCs w:val="0"/>
                <w:lang w:val="en-GB"/>
              </w:rPr>
              <w:t>3</w:t>
            </w:r>
          </w:p>
        </w:tc>
        <w:tc>
          <w:tcPr>
            <w:tcW w:w="4678" w:type="dxa"/>
          </w:tcPr>
          <w:p w14:paraId="7239D40C" w14:textId="77777777" w:rsidR="007C0943"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Training of Airport Personnel (operation and maintenance)</w:t>
            </w:r>
          </w:p>
        </w:tc>
        <w:tc>
          <w:tcPr>
            <w:tcW w:w="1134" w:type="dxa"/>
          </w:tcPr>
          <w:p w14:paraId="2F88D3EF" w14:textId="77777777" w:rsidR="007C0943" w:rsidRDefault="00000000">
            <w:pPr>
              <w:cnfStyle w:val="000000000000" w:firstRow="0" w:lastRow="0" w:firstColumn="0" w:lastColumn="0" w:oddVBand="0" w:evenVBand="0" w:oddHBand="0" w:evenHBand="0" w:firstRowFirstColumn="0" w:firstRowLastColumn="0" w:lastRowFirstColumn="0" w:lastRowLastColumn="0"/>
            </w:pPr>
            <w:r>
              <w:t>1 Lot</w:t>
            </w:r>
          </w:p>
        </w:tc>
        <w:tc>
          <w:tcPr>
            <w:tcW w:w="1559" w:type="dxa"/>
          </w:tcPr>
          <w:p w14:paraId="2F37502B" w14:textId="77777777" w:rsidR="007C0943" w:rsidRDefault="00000000">
            <w:pPr>
              <w:cnfStyle w:val="000000000000" w:firstRow="0" w:lastRow="0" w:firstColumn="0" w:lastColumn="0" w:oddVBand="0" w:evenVBand="0" w:oddHBand="0" w:evenHBand="0" w:firstRowFirstColumn="0" w:firstRowLastColumn="0" w:lastRowFirstColumn="0" w:lastRowLastColumn="0"/>
            </w:pPr>
            <w:r>
              <w:t>Within 90 days</w:t>
            </w:r>
          </w:p>
        </w:tc>
        <w:tc>
          <w:tcPr>
            <w:tcW w:w="1417" w:type="dxa"/>
          </w:tcPr>
          <w:p w14:paraId="780B3B03" w14:textId="77777777" w:rsidR="007C0943" w:rsidRDefault="007C0943">
            <w:pPr>
              <w:cnfStyle w:val="000000000000" w:firstRow="0" w:lastRow="0" w:firstColumn="0" w:lastColumn="0" w:oddVBand="0" w:evenVBand="0" w:oddHBand="0" w:evenHBand="0" w:firstRowFirstColumn="0" w:firstRowLastColumn="0" w:lastRowFirstColumn="0" w:lastRowLastColumn="0"/>
              <w:rPr>
                <w:lang w:val="en-GB"/>
              </w:rPr>
            </w:pPr>
          </w:p>
        </w:tc>
      </w:tr>
      <w:tr w:rsidR="007C0943" w14:paraId="27FADF4A" w14:textId="77777777" w:rsidTr="007C0943">
        <w:tc>
          <w:tcPr>
            <w:cnfStyle w:val="001000000000" w:firstRow="0" w:lastRow="0" w:firstColumn="1" w:lastColumn="0" w:oddVBand="0" w:evenVBand="0" w:oddHBand="0" w:evenHBand="0" w:firstRowFirstColumn="0" w:firstRowLastColumn="0" w:lastRowFirstColumn="0" w:lastRowLastColumn="0"/>
            <w:tcW w:w="562" w:type="dxa"/>
          </w:tcPr>
          <w:p w14:paraId="7F365FF0" w14:textId="77777777" w:rsidR="007C0943" w:rsidRDefault="00000000">
            <w:pPr>
              <w:rPr>
                <w:lang w:val="en-GB"/>
              </w:rPr>
            </w:pPr>
            <w:r>
              <w:rPr>
                <w:b w:val="0"/>
                <w:bCs w:val="0"/>
                <w:lang w:val="en-GB"/>
              </w:rPr>
              <w:t>4</w:t>
            </w:r>
          </w:p>
        </w:tc>
        <w:tc>
          <w:tcPr>
            <w:tcW w:w="4678" w:type="dxa"/>
          </w:tcPr>
          <w:p w14:paraId="640B6CFA" w14:textId="77777777" w:rsidR="007C0943"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Supply of Spare Parts and Technical Documentation</w:t>
            </w:r>
          </w:p>
        </w:tc>
        <w:tc>
          <w:tcPr>
            <w:tcW w:w="1134" w:type="dxa"/>
          </w:tcPr>
          <w:p w14:paraId="25609727" w14:textId="77777777" w:rsidR="007C0943" w:rsidRDefault="00000000">
            <w:pPr>
              <w:cnfStyle w:val="000000000000" w:firstRow="0" w:lastRow="0" w:firstColumn="0" w:lastColumn="0" w:oddVBand="0" w:evenVBand="0" w:oddHBand="0" w:evenHBand="0" w:firstRowFirstColumn="0" w:firstRowLastColumn="0" w:lastRowFirstColumn="0" w:lastRowLastColumn="0"/>
            </w:pPr>
            <w:r>
              <w:t>1 Lot</w:t>
            </w:r>
          </w:p>
        </w:tc>
        <w:tc>
          <w:tcPr>
            <w:tcW w:w="1559" w:type="dxa"/>
          </w:tcPr>
          <w:p w14:paraId="05936EF7" w14:textId="77777777" w:rsidR="007C0943" w:rsidRDefault="00000000">
            <w:pPr>
              <w:cnfStyle w:val="000000000000" w:firstRow="0" w:lastRow="0" w:firstColumn="0" w:lastColumn="0" w:oddVBand="0" w:evenVBand="0" w:oddHBand="0" w:evenHBand="0" w:firstRowFirstColumn="0" w:firstRowLastColumn="0" w:lastRowFirstColumn="0" w:lastRowLastColumn="0"/>
            </w:pPr>
            <w:r>
              <w:t>Within 60 days</w:t>
            </w:r>
          </w:p>
        </w:tc>
        <w:tc>
          <w:tcPr>
            <w:tcW w:w="1417" w:type="dxa"/>
          </w:tcPr>
          <w:p w14:paraId="0414AB43" w14:textId="77777777" w:rsidR="007C0943" w:rsidRDefault="007C0943">
            <w:pPr>
              <w:cnfStyle w:val="000000000000" w:firstRow="0" w:lastRow="0" w:firstColumn="0" w:lastColumn="0" w:oddVBand="0" w:evenVBand="0" w:oddHBand="0" w:evenHBand="0" w:firstRowFirstColumn="0" w:firstRowLastColumn="0" w:lastRowFirstColumn="0" w:lastRowLastColumn="0"/>
              <w:rPr>
                <w:lang w:val="en-GB"/>
              </w:rPr>
            </w:pPr>
          </w:p>
        </w:tc>
      </w:tr>
    </w:tbl>
    <w:p w14:paraId="5E54EB54" w14:textId="77777777" w:rsidR="007C0943" w:rsidRDefault="007C0943">
      <w:pPr>
        <w:rPr>
          <w:lang w:val="en-GB"/>
        </w:rPr>
      </w:pPr>
    </w:p>
    <w:sectPr w:rsidR="007C0943">
      <w:headerReference w:type="default" r:id="rId11"/>
      <w:footerReference w:type="default" r:id="rId12"/>
      <w:type w:val="oddPage"/>
      <w:pgSz w:w="11907" w:h="1683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BF326" w14:textId="77777777" w:rsidR="001665DB" w:rsidRDefault="001665DB">
      <w:pPr>
        <w:spacing w:before="0"/>
      </w:pPr>
      <w:r>
        <w:separator/>
      </w:r>
    </w:p>
  </w:endnote>
  <w:endnote w:type="continuationSeparator" w:id="0">
    <w:p w14:paraId="39D57FA1" w14:textId="77777777" w:rsidR="001665DB" w:rsidRDefault="001665D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00"/>
    <w:family w:val="auto"/>
    <w:pitch w:val="default"/>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3ECB4" w14:textId="77777777" w:rsidR="007C0943" w:rsidRDefault="00000000">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11</w:t>
    </w:r>
    <w:r>
      <w:rPr>
        <w:color w:val="17365D" w:themeColor="text2" w:themeShade="BF"/>
      </w:rPr>
      <w:fldChar w:fldCharType="end"/>
    </w:r>
  </w:p>
  <w:p w14:paraId="3CCC7E5F" w14:textId="77777777" w:rsidR="007C0943" w:rsidRDefault="00000000">
    <w:pPr>
      <w:pStyle w:val="Footer"/>
    </w:pPr>
    <w:r>
      <w:fldChar w:fldCharType="begin"/>
    </w:r>
    <w:r>
      <w:instrText xml:space="preserve"> DATE \@ "yyyy-MM-dd" </w:instrText>
    </w:r>
    <w:r>
      <w:fldChar w:fldCharType="separate"/>
    </w:r>
    <w:r w:rsidR="00563B9A">
      <w:rPr>
        <w:noProof/>
      </w:rPr>
      <w:t>2026-03-19</w:t>
    </w:r>
    <w:r>
      <w:fldChar w:fldCharType="end"/>
    </w:r>
  </w:p>
  <w:p w14:paraId="0C18D935" w14:textId="77777777" w:rsidR="007C0943" w:rsidRDefault="007C09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BA9CE" w14:textId="77777777" w:rsidR="001665DB" w:rsidRDefault="001665DB">
      <w:pPr>
        <w:spacing w:before="0"/>
      </w:pPr>
      <w:r>
        <w:separator/>
      </w:r>
    </w:p>
  </w:footnote>
  <w:footnote w:type="continuationSeparator" w:id="0">
    <w:p w14:paraId="55967630" w14:textId="77777777" w:rsidR="001665DB" w:rsidRDefault="001665DB">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B0CE0" w14:textId="77777777" w:rsidR="007C0943" w:rsidRDefault="00000000">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4A78B0D7" wp14:editId="132514AE">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1" w15:restartNumberingAfterBreak="0">
    <w:nsid w:val="31F0BB63"/>
    <w:multiLevelType w:val="singleLevel"/>
    <w:tmpl w:val="31F0BB63"/>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16cid:durableId="681513266">
    <w:abstractNumId w:val="0"/>
  </w:num>
  <w:num w:numId="2" w16cid:durableId="1826315758">
    <w:abstractNumId w:val="2"/>
  </w:num>
  <w:num w:numId="3" w16cid:durableId="11686698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7D4"/>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644"/>
    <w:rsid w:val="00155772"/>
    <w:rsid w:val="00156024"/>
    <w:rsid w:val="0015629F"/>
    <w:rsid w:val="00157281"/>
    <w:rsid w:val="001575F7"/>
    <w:rsid w:val="00160266"/>
    <w:rsid w:val="00161178"/>
    <w:rsid w:val="00162007"/>
    <w:rsid w:val="00162946"/>
    <w:rsid w:val="001662EF"/>
    <w:rsid w:val="001665DB"/>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3B9A"/>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943"/>
    <w:rsid w:val="007C0D3A"/>
    <w:rsid w:val="007C11EA"/>
    <w:rsid w:val="007C3EE5"/>
    <w:rsid w:val="007C4FED"/>
    <w:rsid w:val="007C520A"/>
    <w:rsid w:val="007C5C8F"/>
    <w:rsid w:val="007C7ACF"/>
    <w:rsid w:val="007D2857"/>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56B1"/>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 w:val="3073447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A59585"/>
  <w15:docId w15:val="{A7254979-076B-4596-A594-4EB5D2766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uiPriority="99" w:unhideWhenUsed="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rPr>
      <w:rFonts w:ascii="Malgun Gothic" w:hAnsi="Malgun Gothic"/>
      <w:sz w:val="18"/>
      <w:szCs w:val="18"/>
    </w:rPr>
  </w:style>
  <w:style w:type="paragraph" w:styleId="BodyText">
    <w:name w:val="Body Text"/>
    <w:basedOn w:val="Normal"/>
    <w:pPr>
      <w:suppressAutoHyphens/>
      <w:spacing w:after="120"/>
      <w:jc w:val="both"/>
    </w:pPr>
  </w:style>
  <w:style w:type="paragraph" w:styleId="BodyText3">
    <w:name w:val="Body Text 3"/>
    <w:basedOn w:val="Normal"/>
    <w:link w:val="BodyText3Char"/>
    <w:pPr>
      <w:spacing w:after="120"/>
    </w:pPr>
    <w:rPr>
      <w:sz w:val="16"/>
      <w:szCs w:val="16"/>
    </w:rPr>
  </w:style>
  <w:style w:type="paragraph" w:styleId="BodyTextIndent">
    <w:name w:val="Body Text Indent"/>
    <w:basedOn w:val="Normal"/>
    <w:link w:val="BodyTextIndentChar"/>
    <w:pPr>
      <w:spacing w:after="120"/>
      <w:ind w:left="360"/>
    </w:pPr>
    <w:rPr>
      <w:szCs w:val="20"/>
    </w:rPr>
  </w:style>
  <w:style w:type="character" w:styleId="CommentReference">
    <w:name w:val="annotation reference"/>
    <w:uiPriority w:val="99"/>
    <w:unhideWhenUsed/>
    <w:rPr>
      <w:sz w:val="18"/>
      <w:szCs w:val="18"/>
    </w:rPr>
  </w:style>
  <w:style w:type="paragraph" w:styleId="CommentText">
    <w:name w:val="annotation text"/>
    <w:basedOn w:val="Normal"/>
    <w:link w:val="CommentTextChar"/>
    <w:uiPriority w:val="99"/>
    <w:unhideWhenUsed/>
    <w:rPr>
      <w:rFonts w:ascii="Arial" w:hAnsi="Arial"/>
      <w:sz w:val="20"/>
      <w:szCs w:val="20"/>
      <w:lang w:val="de-DE" w:eastAsia="de-DE"/>
    </w:rPr>
  </w:style>
  <w:style w:type="paragraph" w:styleId="CommentSubject">
    <w:name w:val="annotation subject"/>
    <w:basedOn w:val="CommentText"/>
    <w:next w:val="CommentText"/>
    <w:semiHidden/>
    <w:rPr>
      <w:rFonts w:ascii="Times New Roman" w:hAnsi="Times New Roman"/>
      <w:b/>
      <w:bCs/>
      <w:lang w:val="en-US" w:eastAsia="en-US"/>
    </w:rPr>
  </w:style>
  <w:style w:type="character" w:styleId="FollowedHyperlink">
    <w:name w:val="FollowedHyperlink"/>
    <w:basedOn w:val="DefaultParagraphFont"/>
    <w:semiHidden/>
    <w:unhideWhenUsed/>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rPr>
      <w:color w:val="0000FF"/>
      <w:u w:val="singl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pPr>
      <w:spacing w:before="100" w:beforeAutospacing="1" w:after="100" w:afterAutospacing="1"/>
    </w:pPr>
    <w:rPr>
      <w:rFonts w:eastAsia="Times New Roman"/>
      <w:lang w:eastAsia="ko-KR"/>
    </w:rPr>
  </w:style>
  <w:style w:type="paragraph" w:styleId="NormalIndent">
    <w:name w:val="Normal Indent"/>
    <w:basedOn w:val="Normal"/>
    <w:pPr>
      <w:ind w:left="720"/>
    </w:pPr>
  </w:style>
  <w:style w:type="character" w:styleId="PageNumber">
    <w:name w:val="page number"/>
    <w:basedOn w:val="DefaultParagraphFont"/>
  </w:style>
  <w:style w:type="paragraph" w:styleId="PlainText">
    <w:name w:val="Plain Text"/>
    <w:basedOn w:val="Normal"/>
    <w:link w:val="PlainTextChar"/>
    <w:unhideWhenUsed/>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rPr>
      <w:rFonts w:ascii="Malgun Gothic" w:eastAsia="Malgun Gothic" w:hAnsi="Malgun Gothic" w:cs="Times New Roman"/>
      <w:sz w:val="18"/>
      <w:szCs w:val="18"/>
      <w:lang w:eastAsia="en-US"/>
    </w:rPr>
  </w:style>
  <w:style w:type="character" w:customStyle="1" w:styleId="HeaderChar">
    <w:name w:val="Header Char"/>
    <w:link w:val="Header"/>
    <w:uiPriority w:val="99"/>
    <w:rPr>
      <w:sz w:val="24"/>
      <w:lang w:eastAsia="en-US"/>
    </w:rPr>
  </w:style>
  <w:style w:type="character" w:customStyle="1" w:styleId="Heading1Char">
    <w:name w:val="Heading 1 Char"/>
    <w:link w:val="Heading1"/>
    <w:rPr>
      <w:rFonts w:ascii="Calibri" w:hAnsi="Calibri"/>
      <w:b/>
      <w:sz w:val="36"/>
      <w:szCs w:val="24"/>
      <w:lang w:bidi="ar-SA"/>
    </w:rPr>
  </w:style>
  <w:style w:type="character" w:customStyle="1" w:styleId="Heading5Char">
    <w:name w:val="Heading 5 Char"/>
    <w:link w:val="Heading5"/>
    <w:rPr>
      <w:sz w:val="24"/>
    </w:rPr>
  </w:style>
  <w:style w:type="character" w:customStyle="1" w:styleId="FootnoteTextChar">
    <w:name w:val="Footnote Text Char"/>
    <w:link w:val="FootnoteText"/>
    <w:semiHidden/>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rPr>
      <w:rFonts w:ascii="Arial" w:hAnsi="Arial"/>
      <w:lang w:val="de-DE" w:eastAsia="de-DE"/>
    </w:rPr>
  </w:style>
  <w:style w:type="character" w:customStyle="1" w:styleId="green14">
    <w:name w:val="green_14"/>
    <w:basedOn w:val="DefaultParagraphFont"/>
  </w:style>
  <w:style w:type="character" w:customStyle="1" w:styleId="FooterChar">
    <w:name w:val="Footer Char"/>
    <w:link w:val="Footer"/>
    <w:uiPriority w:val="99"/>
    <w:rPr>
      <w:sz w:val="24"/>
    </w:rPr>
  </w:style>
  <w:style w:type="character" w:customStyle="1" w:styleId="BodyTextIndentChar">
    <w:name w:val="Body Text Indent Char"/>
    <w:link w:val="BodyTextIndent"/>
    <w:rPr>
      <w:sz w:val="24"/>
    </w:rPr>
  </w:style>
  <w:style w:type="character" w:customStyle="1" w:styleId="PlainTextChar">
    <w:name w:val="Plain Text Char"/>
    <w:link w:val="PlainText"/>
    <w:rPr>
      <w:rFonts w:ascii="Consolas" w:eastAsia="Calibri" w:hAnsi="Consolas"/>
      <w:sz w:val="21"/>
      <w:szCs w:val="21"/>
    </w:rPr>
  </w:style>
  <w:style w:type="character" w:customStyle="1" w:styleId="BodyText3Char">
    <w:name w:val="Body Text 3 Char"/>
    <w:link w:val="BodyText3"/>
    <w:rPr>
      <w:sz w:val="16"/>
      <w:szCs w:val="16"/>
    </w:rPr>
  </w:style>
  <w:style w:type="paragraph" w:customStyle="1" w:styleId="a">
    <w:name w:val="선그리기"/>
    <w:basedOn w:val="Normal"/>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pPr>
      <w:numPr>
        <w:numId w:val="1"/>
      </w:numPr>
      <w:tabs>
        <w:tab w:val="clear" w:pos="357"/>
      </w:tabs>
      <w:spacing w:after="120"/>
      <w:ind w:right="144"/>
    </w:pPr>
    <w:rPr>
      <w:rFonts w:eastAsia="Batang"/>
      <w:sz w:val="26"/>
      <w:lang w:eastAsia="ko-KR"/>
    </w:rPr>
  </w:style>
  <w:style w:type="paragraph" w:customStyle="1" w:styleId="02dash">
    <w:name w:val="02 dash"/>
    <w:basedOn w:val="01squarebullet"/>
    <w:pPr>
      <w:numPr>
        <w:ilvl w:val="1"/>
      </w:numPr>
    </w:pPr>
  </w:style>
  <w:style w:type="paragraph" w:customStyle="1" w:styleId="03opensquarebullet">
    <w:name w:val="03 open square bullet"/>
    <w:basedOn w:val="02dash"/>
    <w:pPr>
      <w:numPr>
        <w:ilvl w:val="2"/>
      </w:numPr>
      <w:ind w:left="936" w:hanging="288"/>
    </w:pPr>
  </w:style>
  <w:style w:type="paragraph" w:customStyle="1" w:styleId="04shortdash">
    <w:name w:val="04 short dash"/>
    <w:basedOn w:val="03opensquarebullet"/>
    <w:pPr>
      <w:numPr>
        <w:ilvl w:val="3"/>
      </w:numPr>
    </w:pPr>
  </w:style>
  <w:style w:type="paragraph" w:customStyle="1" w:styleId="05number1">
    <w:name w:val="05 number/1"/>
    <w:basedOn w:val="Normal"/>
    <w:pPr>
      <w:numPr>
        <w:numId w:val="2"/>
      </w:numPr>
      <w:spacing w:after="120"/>
    </w:pPr>
    <w:rPr>
      <w:rFonts w:eastAsia="Batang"/>
      <w:sz w:val="26"/>
      <w:lang w:eastAsia="ko-KR"/>
    </w:rPr>
  </w:style>
  <w:style w:type="paragraph" w:customStyle="1" w:styleId="06letter2">
    <w:name w:val="06 letter/2"/>
    <w:basedOn w:val="Normal"/>
    <w:pPr>
      <w:numPr>
        <w:ilvl w:val="1"/>
        <w:numId w:val="2"/>
      </w:numPr>
      <w:spacing w:after="120"/>
      <w:outlineLvl w:val="1"/>
    </w:pPr>
    <w:rPr>
      <w:rFonts w:eastAsia="Batang"/>
      <w:sz w:val="26"/>
      <w:lang w:eastAsia="ko-KR"/>
    </w:rPr>
  </w:style>
  <w:style w:type="paragraph" w:customStyle="1" w:styleId="07number3">
    <w:name w:val="07 number/3"/>
    <w:basedOn w:val="Normal"/>
    <w:pPr>
      <w:numPr>
        <w:ilvl w:val="2"/>
        <w:numId w:val="2"/>
      </w:numPr>
      <w:spacing w:after="120"/>
      <w:outlineLvl w:val="7"/>
    </w:pPr>
    <w:rPr>
      <w:rFonts w:eastAsia="Batang"/>
      <w:sz w:val="26"/>
      <w:lang w:eastAsia="ko-KR"/>
    </w:rPr>
  </w:style>
  <w:style w:type="paragraph" w:customStyle="1" w:styleId="08letter4">
    <w:name w:val="08 letter/4"/>
    <w:basedOn w:val="Normal"/>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rPr>
      <w:rFonts w:ascii="Calibri" w:eastAsia="MS Mincho" w:hAnsi="Calibri"/>
      <w:sz w:val="22"/>
      <w:szCs w:val="22"/>
      <w:lang w:eastAsia="en-GB" w:bidi="ar-SA"/>
    </w:rPr>
  </w:style>
  <w:style w:type="character" w:customStyle="1" w:styleId="Heading2Char">
    <w:name w:val="Heading 2 Char"/>
    <w:link w:val="Heading2"/>
    <w:rPr>
      <w:rFonts w:ascii="Calibri" w:hAnsi="Calibri"/>
      <w:b/>
      <w:sz w:val="32"/>
      <w:szCs w:val="32"/>
      <w:lang w:val="en-GB" w:eastAsia="en-US" w:bidi="ar-SA"/>
    </w:rPr>
  </w:style>
  <w:style w:type="paragraph" w:customStyle="1" w:styleId="ColorfulShading-Accent11">
    <w:name w:val="Colorful Shading - Accent 11"/>
    <w:hidden/>
    <w:uiPriority w:val="99"/>
    <w:semiHidden/>
    <w:rPr>
      <w:sz w:val="24"/>
      <w:szCs w:val="24"/>
      <w:lang w:val="en-US" w:eastAsia="en-US"/>
    </w:rPr>
  </w:style>
  <w:style w:type="character" w:customStyle="1" w:styleId="PiedepginaCar">
    <w:name w:val="Pie de página Car"/>
    <w:uiPriority w:val="99"/>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style>
  <w:style w:type="paragraph" w:customStyle="1" w:styleId="StyleHeading4BodyCalibri">
    <w:name w:val="Style Heading 4 + +Body (Calibri)"/>
    <w:basedOn w:val="Heading4"/>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GridTable1Light1">
    <w:name w:val="Grid Table 1 Light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1A372A-689B-41EE-A431-A75822256F89}">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17</TotalTime>
  <Pages>3</Pages>
  <Words>385</Words>
  <Characters>2199</Characters>
  <Application>Microsoft Office Word</Application>
  <DocSecurity>0</DocSecurity>
  <Lines>18</Lines>
  <Paragraphs>5</Paragraphs>
  <ScaleCrop>false</ScaleCrop>
  <Company>PricewaterhouseCoopers</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4</cp:revision>
  <cp:lastPrinted>2013-10-18T08:32:00Z</cp:lastPrinted>
  <dcterms:created xsi:type="dcterms:W3CDTF">2020-07-06T12:33:00Z</dcterms:created>
  <dcterms:modified xsi:type="dcterms:W3CDTF">2026-03-19T01:56:00Z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TemplateDocerSaveRecord">
    <vt:lpwstr>eyJoZGlkIjoiNDQ5M2NiMTM3YWZjYzhkZDM4NzUxY2ZlMjQ1MzA5ZDIiLCJ1c2VySWQiOiI4ODEzNzc3NDcxMzMxIn0=</vt:lpwstr>
  </property>
  <property fmtid="{D5CDD505-2E9C-101B-9397-08002B2CF9AE}" pid="4" name="KSOProductBuildVer">
    <vt:lpwstr>1033-12.1.0.25242</vt:lpwstr>
  </property>
  <property fmtid="{D5CDD505-2E9C-101B-9397-08002B2CF9AE}" pid="5" name="ICV">
    <vt:lpwstr>6C058AC55F0F4E92AB9A78B7E932B2D3_13</vt:lpwstr>
  </property>
</Properties>
</file>